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560" w:firstLineChars="800"/>
        <w:textAlignment w:val="auto"/>
        <w:rPr>
          <w:rFonts w:hint="eastAsia"/>
        </w:rPr>
      </w:pPr>
      <w:r>
        <w:rPr>
          <w:rFonts w:hint="eastAsia"/>
          <w:sz w:val="32"/>
          <w:szCs w:val="32"/>
        </w:rPr>
        <w:t>免疫分析仪</w:t>
      </w:r>
      <w:r>
        <w:rPr>
          <w:rFonts w:hint="eastAsia"/>
          <w:sz w:val="32"/>
          <w:szCs w:val="32"/>
          <w:lang w:val="en-US" w:eastAsia="zh-CN"/>
        </w:rPr>
        <w:t>性能需求</w:t>
      </w:r>
      <w:bookmarkStart w:id="0" w:name="_GoBack"/>
      <w:bookmarkEnd w:id="0"/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1、方法学：时间分辨荧光免疫法</w:t>
      </w:r>
      <w:r>
        <w:rPr>
          <w:rFonts w:hint="eastAsia"/>
        </w:rPr>
        <w:br w:type="textWrapping"/>
      </w:r>
      <w:r>
        <w:rPr>
          <w:rFonts w:hint="eastAsia"/>
        </w:rPr>
        <w:t>2、检测项目：可全定量测量参数，肌钙蛋白I (Troponin I)、肌钙蛋白T (Troponin T) 、肌酸激酶同工酶(CKMB)、肌红蛋白(Myoglobin)、B型氨基端利肭肽(NT-proBNP)、D二聚体(D-dimer)、降钙素原(PCT)等危急重症项目。</w:t>
      </w:r>
      <w:r>
        <w:rPr>
          <w:rFonts w:hint="eastAsia"/>
        </w:rPr>
        <w:br w:type="textWrapping"/>
      </w:r>
      <w:r>
        <w:rPr>
          <w:rFonts w:hint="eastAsia"/>
        </w:rPr>
        <w:t>3、测量参数报告范围：</w:t>
      </w:r>
      <w:r>
        <w:rPr>
          <w:rFonts w:hint="eastAsia"/>
        </w:rPr>
        <w:br w:type="textWrapping"/>
      </w:r>
      <w:r>
        <w:rPr>
          <w:rFonts w:hint="eastAsia"/>
        </w:rPr>
        <w:t>TnT：≥0.01-15μg/L</w:t>
      </w:r>
      <w:r>
        <w:rPr>
          <w:rFonts w:hint="eastAsia"/>
        </w:rPr>
        <w:br w:type="textWrapping"/>
      </w:r>
      <w:r>
        <w:rPr>
          <w:rFonts w:hint="eastAsia"/>
        </w:rPr>
        <w:t>TnI：≥0.010-15μg/L</w:t>
      </w:r>
      <w:r>
        <w:rPr>
          <w:rFonts w:hint="eastAsia"/>
        </w:rPr>
        <w:br w:type="textWrapping"/>
      </w:r>
      <w:r>
        <w:rPr>
          <w:rFonts w:hint="eastAsia"/>
        </w:rPr>
        <w:t>NT-proBNP：≥20-32000ng/L</w:t>
      </w:r>
      <w:r>
        <w:rPr>
          <w:rFonts w:hint="eastAsia"/>
        </w:rPr>
        <w:br w:type="textWrapping"/>
      </w:r>
      <w:r>
        <w:rPr>
          <w:rFonts w:hint="eastAsia"/>
        </w:rPr>
        <w:t>D-dimer：≥80-40000μg/L</w:t>
      </w:r>
      <w:r>
        <w:rPr>
          <w:rFonts w:hint="eastAsia"/>
        </w:rPr>
        <w:br w:type="textWrapping"/>
      </w:r>
      <w:r>
        <w:rPr>
          <w:rFonts w:hint="eastAsia"/>
        </w:rPr>
        <w:t>PCT：≥0.08-90ng/ml</w:t>
      </w:r>
      <w:r>
        <w:rPr>
          <w:rFonts w:hint="eastAsia"/>
        </w:rPr>
        <w:br w:type="textWrapping"/>
      </w:r>
      <w:r>
        <w:rPr>
          <w:rFonts w:hint="eastAsia"/>
        </w:rPr>
        <w:t>4、肌钙蛋白I/T以99百分位值作为参考值。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>5、全血样本，肌钙蛋白I/T 99百分位值处，CV≤20%。</w:t>
      </w:r>
      <w:r>
        <w:rPr>
          <w:rFonts w:hint="eastAsia"/>
        </w:rPr>
        <w:br w:type="textWrapping"/>
      </w:r>
      <w:r>
        <w:rPr>
          <w:rFonts w:hint="eastAsia"/>
        </w:rPr>
        <w:t>6、肌钙蛋白具备肌钙蛋白自身抗体检测功能，以保证其结果的精准性。</w:t>
      </w:r>
      <w:r>
        <w:rPr>
          <w:rFonts w:hint="eastAsia"/>
        </w:rPr>
        <w:br w:type="textWrapping"/>
      </w:r>
      <w:r>
        <w:rPr>
          <w:rFonts w:hint="eastAsia"/>
        </w:rPr>
        <w:t>7、各参数可根据临床需求自定义灵活组合，单个样本能灵活组合进行多至5个参数检测。</w:t>
      </w:r>
      <w:r>
        <w:rPr>
          <w:rFonts w:hint="eastAsia"/>
        </w:rPr>
        <w:br w:type="textWrapping"/>
      </w:r>
      <w:r>
        <w:rPr>
          <w:rFonts w:hint="eastAsia"/>
        </w:rPr>
        <w:t>8、样本量：放置有2ml-3 ml样本的EDTA/肝素锂抗凝采血管，每个参数样本用量 ≤80µl。</w:t>
      </w:r>
      <w:r>
        <w:rPr>
          <w:rFonts w:hint="eastAsia"/>
        </w:rPr>
        <w:br w:type="textWrapping"/>
      </w:r>
      <w:r>
        <w:rPr>
          <w:rFonts w:hint="eastAsia"/>
        </w:rPr>
        <w:t>9、样本预处理：原始采血管不开盖，不离心，直接上样，自动混匀，封闭进样。</w:t>
      </w:r>
      <w:r>
        <w:rPr>
          <w:rFonts w:hint="eastAsia"/>
        </w:rPr>
        <w:br w:type="textWrapping"/>
      </w:r>
      <w:r>
        <w:rPr>
          <w:rFonts w:hint="eastAsia"/>
        </w:rPr>
        <w:t>10、全血样本与血清、血浆样本结果一致，若设备具有红细胞压积（HCT）实测功能，可通过HCT校准全血结果。</w:t>
      </w:r>
      <w:r>
        <w:rPr>
          <w:rFonts w:hint="eastAsia"/>
        </w:rPr>
        <w:br w:type="textWrapping"/>
      </w:r>
      <w:r>
        <w:rPr>
          <w:rFonts w:hint="eastAsia"/>
        </w:rPr>
        <w:t>11、试剂位：拥有≥10个在机试剂卡位，可同时机载100个测试，仪器可以同时存放≥5种独立参数试剂卡。</w:t>
      </w:r>
      <w:r>
        <w:rPr>
          <w:rFonts w:hint="eastAsia"/>
        </w:rPr>
        <w:br w:type="textWrapping"/>
      </w:r>
      <w:r>
        <w:rPr>
          <w:rFonts w:hint="eastAsia"/>
        </w:rPr>
        <w:t>12、废弃物处理：全封闭的废物收集系统，无需手工废弃液处理，仪器自动收集所有液体废弃物和用过的检测杯。</w:t>
      </w:r>
      <w:r>
        <w:rPr>
          <w:rFonts w:hint="eastAsia"/>
        </w:rPr>
        <w:br w:type="textWrapping"/>
      </w:r>
      <w:r>
        <w:rPr>
          <w:rFonts w:hint="eastAsia"/>
        </w:rPr>
        <w:t>13、质控要求：设备需支持设备自检及液体质控功能，且可用第三方质控靶值，结果更易于评判。</w:t>
      </w:r>
      <w:r>
        <w:rPr>
          <w:rFonts w:hint="eastAsia"/>
        </w:rPr>
        <w:br w:type="textWrapping"/>
      </w:r>
      <w:r>
        <w:rPr>
          <w:rFonts w:hint="eastAsia"/>
        </w:rPr>
        <w:t>14、生物安全性要求：从封闭进样到完成检测全过程中没有血样暴露、不需要开盖试管和人工加血样等。检测的废液和检测后检测杯收集装置采用一次性使用的设计，不需要人工加清洗液、不定期倾倒废液，完成测试后的测试杯不需要人工收集，以确保床旁生物安全。</w:t>
      </w:r>
      <w:r>
        <w:rPr>
          <w:rFonts w:hint="eastAsia"/>
        </w:rPr>
        <w:br w:type="textWrapping"/>
      </w:r>
      <w:r>
        <w:rPr>
          <w:rFonts w:hint="eastAsia"/>
        </w:rPr>
        <w:t>15、软件兼容性：附带专业POCT管理系统，可连接院内系统进行POCT合规管理。并可配备单机版报告打印软件。</w:t>
      </w:r>
      <w:r>
        <w:rPr>
          <w:rFonts w:hint="eastAsia"/>
        </w:rPr>
        <w:br w:type="textWrapping"/>
      </w:r>
      <w:r>
        <w:rPr>
          <w:rFonts w:hint="eastAsia"/>
        </w:rPr>
        <w:t>16、用户界面：高分别率触摸显示器，Window XP操作系统。有单向、双向连接外部Lis软件或网络的能力。外部接口：≥3个USB接口，具有鼠标接口，键盘接口，串行接口（RS232），RJ45以太网接口。</w:t>
      </w:r>
      <w:r>
        <w:rPr>
          <w:rFonts w:hint="eastAsia"/>
        </w:rPr>
        <w:br w:type="textWrapping"/>
      </w:r>
      <w:r>
        <w:rPr>
          <w:rFonts w:hint="eastAsia"/>
        </w:rPr>
        <w:t>17、所投标产品在国家临检中心室间质评有独立的分组。尤其是TnT及TnI亦具有独立分组。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/>
        </w:rPr>
        <w:t>18、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质保期:设备验收合格后原厂质保期≥3年。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19、负责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信息系统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联机费用。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</w:p>
  </w:footnote>
  <w:footnote w:type="continuationSeparator" w:id="1">
    <w:p>
      <w:pPr>
        <w:spacing w:before="0" w:after="0" w:line="278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A2"/>
    <w:rsid w:val="0017462B"/>
    <w:rsid w:val="00225793"/>
    <w:rsid w:val="00333E95"/>
    <w:rsid w:val="00477DC7"/>
    <w:rsid w:val="005C1225"/>
    <w:rsid w:val="005D3137"/>
    <w:rsid w:val="006530EC"/>
    <w:rsid w:val="006E2AE1"/>
    <w:rsid w:val="008B08B7"/>
    <w:rsid w:val="00907468"/>
    <w:rsid w:val="00984BCD"/>
    <w:rsid w:val="00BB7B6C"/>
    <w:rsid w:val="00D014A2"/>
    <w:rsid w:val="00D86CA6"/>
    <w:rsid w:val="00DD6D38"/>
    <w:rsid w:val="00E378A6"/>
    <w:rsid w:val="00F43051"/>
    <w:rsid w:val="599D2B52"/>
    <w:rsid w:val="6F94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195</Words>
  <Characters>1118</Characters>
  <Lines>9</Lines>
  <Paragraphs>2</Paragraphs>
  <TotalTime>1</TotalTime>
  <ScaleCrop>false</ScaleCrop>
  <LinksUpToDate>false</LinksUpToDate>
  <CharactersWithSpaces>1311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2025-03-06T06:24:00Z</dcterms:created>
  <dc:creator>Chen, Sunny LIJCH</dc:creator>
  <cp:lastModifiedBy>Ronaldo</cp:lastModifiedBy>
  <dcterms:modified xsi:type="dcterms:W3CDTF">2025-03-07T09:08:18Z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094ff5-79ca-456b-95f6-d578316a3809_Enabled">
    <vt:lpwstr>true</vt:lpwstr>
  </property>
  <property fmtid="{D5CDD505-2E9C-101B-9397-08002B2CF9AE}" pid="3" name="MSIP_Label_73094ff5-79ca-456b-95f6-d578316a3809_SetDate">
    <vt:lpwstr>2025-03-06T06:24:07Z</vt:lpwstr>
  </property>
  <property fmtid="{D5CDD505-2E9C-101B-9397-08002B2CF9AE}" pid="4" name="MSIP_Label_73094ff5-79ca-456b-95f6-d578316a3809_Method">
    <vt:lpwstr>Privileged</vt:lpwstr>
  </property>
  <property fmtid="{D5CDD505-2E9C-101B-9397-08002B2CF9AE}" pid="5" name="MSIP_Label_73094ff5-79ca-456b-95f6-d578316a3809_Name">
    <vt:lpwstr>Public</vt:lpwstr>
  </property>
  <property fmtid="{D5CDD505-2E9C-101B-9397-08002B2CF9AE}" pid="6" name="MSIP_Label_73094ff5-79ca-456b-95f6-d578316a3809_SiteId">
    <vt:lpwstr>771c9c47-7f24-44dc-958e-34f8713a8394</vt:lpwstr>
  </property>
  <property fmtid="{D5CDD505-2E9C-101B-9397-08002B2CF9AE}" pid="7" name="MSIP_Label_73094ff5-79ca-456b-95f6-d578316a3809_ActionId">
    <vt:lpwstr>192fc84c-1944-405f-a746-399871dc4df9</vt:lpwstr>
  </property>
  <property fmtid="{D5CDD505-2E9C-101B-9397-08002B2CF9AE}" pid="8" name="MSIP_Label_73094ff5-79ca-456b-95f6-d578316a3809_ContentBits">
    <vt:lpwstr>0</vt:lpwstr>
  </property>
  <property fmtid="{D5CDD505-2E9C-101B-9397-08002B2CF9AE}" pid="9" name="MSIP_Label_73094ff5-79ca-456b-95f6-d578316a3809_Tag">
    <vt:lpwstr>10, 0, 1, 1</vt:lpwstr>
  </property>
  <property fmtid="{D5CDD505-2E9C-101B-9397-08002B2CF9AE}" pid="10" name="KSOProductBuildVer">
    <vt:lpwstr>2052-11.8.2.12085</vt:lpwstr>
  </property>
  <property fmtid="{D5CDD505-2E9C-101B-9397-08002B2CF9AE}" pid="11" name="ICV">
    <vt:lpwstr>82AF67681C7D44B79704A85A891ADEF8</vt:lpwstr>
  </property>
</Properties>
</file>